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9.05pt;width:89.05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719B4B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719B4B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719B4B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719B4B"/>
          <w:spacing w:val="-10"/>
          <w:position w:val="0"/>
          <w:sz w:val="44"/>
          <w:shd w:val="clear" w:fill="auto"/>
        </w:rPr>
        <w:t xml:space="preserve"> Access to Information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719B4B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719B4B"/>
          <w:spacing w:val="0"/>
          <w:position w:val="0"/>
          <w:sz w:val="32"/>
          <w:shd w:val="clear" w:fill="auto"/>
        </w:rPr>
        <w:t>FOI requests: roles and responsibilities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Take a moment to review this high-level overview of the FOI process for ministries. Remember that the purpose of this process is to create a system that will ensure an effective, customer-focused experience.</w:t>
      </w:r>
      <w:bookmarkStart w:id="0" w:name="_GoBack"/>
      <w:bookmarkEnd w:id="0"/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719B4B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719B4B"/>
          <w:spacing w:val="0"/>
          <w:position w:val="0"/>
          <w:sz w:val="26"/>
          <w:shd w:val="clear" w:fill="auto"/>
        </w:rPr>
        <w:t>BCER Staff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Microsoft Sans Serif" w:cs="BC Sans"/>
          <w:color w:val="auto"/>
          <w:spacing w:val="0"/>
          <w:position w:val="0"/>
          <w:sz w:val="17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As a member of public service you are: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b w:val="0"/>
          <w:bCs/>
          <w:color w:val="262626" w:themeColor="text1" w:themeTint="D9"/>
          <w:spacing w:val="0"/>
          <w:position w:val="0"/>
          <w:sz w:val="24"/>
          <w:shd w:val="clear" w:fill="auto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default" w:ascii="BC Sans" w:hAnsi="BC Sans" w:eastAsia="Basic Sans ExtraLight" w:cs="BC Sans"/>
          <w:b w:val="0"/>
          <w:bCs/>
          <w:color w:val="262626" w:themeColor="text1" w:themeTint="D9"/>
          <w:spacing w:val="0"/>
          <w:position w:val="0"/>
          <w:sz w:val="24"/>
          <w:shd w:val="clear" w:fill="auto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The subject matter experts on the records you use, what information your branch </w:t>
      </w:r>
      <w:r>
        <w:rPr>
          <w:rFonts w:hint="default" w:ascii="BC Sans" w:hAnsi="BC Sans" w:eastAsia="Basic Sans ExtraLight" w:cs="BC Sans"/>
          <w:b w:val="0"/>
          <w:bCs/>
          <w:color w:val="262626" w:themeColor="text1" w:themeTint="D9"/>
          <w:spacing w:val="0"/>
          <w:position w:val="0"/>
          <w:sz w:val="24"/>
          <w:shd w:val="clear" w:fill="auto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h</w:t>
      </w:r>
      <w:r>
        <w:rPr>
          <w:rFonts w:hint="default" w:ascii="BC Sans" w:hAnsi="BC Sans" w:eastAsia="Basic Sans ExtraLight" w:cs="BC Sans"/>
          <w:b w:val="0"/>
          <w:bCs/>
          <w:color w:val="262626" w:themeColor="text1" w:themeTint="D9"/>
          <w:spacing w:val="0"/>
          <w:position w:val="0"/>
          <w:sz w:val="24"/>
          <w:shd w:val="clear" w:fill="auto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as, and whether the information you and your program area have is responsive to a FOI request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In the best position to work with RIS to properly interpret or clarify what an applicant is looking for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Not expected to know what section of FOIPPA may apply in terms of removing information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In the best position to identify whether something may be harmful if it were released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Responsible for ensuring this information is communicated back to RIS</w:t>
      </w:r>
    </w:p>
    <w:p>
      <w:pPr>
        <w:spacing w:before="0" w:after="8" w:line="252" w:lineRule="auto"/>
        <w:ind w:left="0" w:right="0" w:firstLine="0"/>
        <w:jc w:val="left"/>
        <w:rPr>
          <w:rFonts w:hint="default" w:ascii="BC Sans" w:hAnsi="BC Sans" w:eastAsia="Calibri" w:cs="BC Sans"/>
          <w:color w:val="719B4B"/>
          <w:spacing w:val="0"/>
          <w:position w:val="0"/>
          <w:sz w:val="20"/>
          <w:shd w:val="clear" w:fill="auto"/>
        </w:rPr>
      </w:pPr>
      <w:r>
        <w:rPr>
          <w:rFonts w:hint="default" w:ascii="BC Sans" w:hAnsi="BC Sans" w:eastAsia="Arial" w:cs="BC Sans"/>
          <w:color w:val="719B4B"/>
          <w:spacing w:val="0"/>
          <w:position w:val="0"/>
          <w:sz w:val="28"/>
          <w:shd w:val="clear" w:fill="auto"/>
        </w:rPr>
        <w:t>BCER FOIPPA Specialist</w:t>
      </w:r>
    </w:p>
    <w:p>
      <w:pPr>
        <w:spacing w:before="0" w:after="12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FOI team will: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Receive the FOI request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Enter, accept and acknowledge receipt of the request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Liaise with the applicant to understand and clarify the request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Review records, identify harms and recommend severing as required or permitted by FOIPPA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Manage the FOI timeline and take appropriate time extensions, where applicable</w:t>
      </w:r>
    </w:p>
    <w:p>
      <w:pPr>
        <w:numPr>
          <w:ilvl w:val="0"/>
          <w:numId w:val="2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Provide the final response to the applicant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Basic Sans ExtraLight">
    <w:panose1 w:val="00000300000000000000"/>
    <w:charset w:val="00"/>
    <w:family w:val="auto"/>
    <w:pitch w:val="default"/>
    <w:sig w:usb0="00000007" w:usb1="00000000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59A6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2024-03-14T19:51:49Z</dcterms:created>
  <dc:creator>Natalie Evans</dc:creator>
  <cp:lastModifiedBy>Natalie Evans</cp:lastModifiedBy>
  <dcterms:modified xsi:type="dcterms:W3CDTF">2024-03-14T19:54:06Z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4B7F2794D2594C6F8DA04D0F399A591A</vt:lpwstr>
  </property>
</Properties>
</file>